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r>
        <w:rPr>
          <w:rFonts w:hint="eastAsia"/>
          <w:b/>
          <w:sz w:val="36"/>
          <w:szCs w:val="36"/>
        </w:rPr>
        <w:t xml:space="preserve">    农业资源与环境学院“十三五”事业发展规划</w:t>
      </w:r>
    </w:p>
    <w:p>
      <w:pPr>
        <w:ind w:firstLine="420" w:firstLineChars="200"/>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根据《黑龙江大学“十三五”事业发展规划编制工作方案》的文件精神，经学院领导班子会议审议通过，结合学院实际特制定《农业资源与环境学院“十三五”事业发展规划》，规划如下：</w:t>
      </w:r>
    </w:p>
    <w:p>
      <w:pPr>
        <w:pStyle w:val="6"/>
        <w:spacing w:line="360" w:lineRule="auto"/>
        <w:ind w:left="420" w:firstLine="0" w:firstLineChars="0"/>
        <w:rPr>
          <w:rFonts w:ascii="黑体" w:hAnsi="黑体" w:eastAsia="黑体" w:cs="黑体"/>
          <w:b/>
          <w:bCs/>
          <w:sz w:val="28"/>
          <w:szCs w:val="28"/>
        </w:rPr>
      </w:pPr>
      <w:r>
        <w:rPr>
          <w:rFonts w:hint="eastAsia" w:ascii="黑体" w:hAnsi="黑体" w:eastAsia="黑体" w:cs="黑体"/>
          <w:b/>
          <w:bCs/>
          <w:sz w:val="28"/>
          <w:szCs w:val="28"/>
        </w:rPr>
        <w:t>一、客观基础</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（一）“十二五”时期取得的主要成就</w:t>
      </w:r>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1.学科专业设置</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学院设有植物保护一级学科硕士学位点、农业推广硕士专业学位点（植物保护领域），农业资源与环境、植物保护、种子科学与工程等三个本科专业。</w:t>
      </w:r>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2.学生层次与规模</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研究生每年计划招生人数为35人（全日制15人，农业推广20人），本科生每年招生人数为120人左右。现有在校研究生31人，本科生398人。</w:t>
      </w:r>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3.教职工与专任教师规模</w:t>
      </w:r>
    </w:p>
    <w:p>
      <w:pPr>
        <w:spacing w:line="360" w:lineRule="auto"/>
        <w:ind w:firstLine="420"/>
        <w:rPr>
          <w:rFonts w:ascii="仿宋" w:hAnsi="仿宋" w:eastAsia="仿宋" w:cs="仿宋"/>
          <w:color w:val="FF0000"/>
          <w:sz w:val="28"/>
          <w:szCs w:val="28"/>
        </w:rPr>
      </w:pPr>
      <w:r>
        <w:rPr>
          <w:rFonts w:hint="eastAsia" w:ascii="仿宋" w:hAnsi="仿宋" w:eastAsia="仿宋" w:cs="仿宋"/>
          <w:sz w:val="28"/>
          <w:szCs w:val="28"/>
        </w:rPr>
        <w:t>学院现有专任教师32人，其中教授5人，副教授23人，讲师4人；具有硕士以上学位的教师占专任教师总数的90.6%，其中具有博士学位教师24名，比例为75%；平均年龄43.72岁。师资队伍具有高职称、高学位，以及年龄偏高的特点。</w:t>
      </w:r>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4.教学科研情况</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农业资源与环境专业2013年成功获得“卓越”农业人才培养资格；每学年通过多次举办教师互相听课和不定期举办观摩课堂活动；进行优秀教案、课件的评比活动，促进了学院的教学工作提档升级。目前，学院已经建立14个实践教学基地，10个就业实习基地。承担科技部基础性专项1项、国家自然科学基金12项、省自然科学基金6项，发表论文138篇，授权国家发明专利5项，出版专著7部，举办学术报告18场，主办国内学术会议2场。</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（二）现有优势和特色</w:t>
      </w:r>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1.教学方面</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按照错位发展的理念，教学工作中将人才培养定位为：“以环境生态类”为特色，2013年获批省级“卓越”农业人才培养试点项目。工作中，以“卓越农业人才”实施为切点，不断加大、加强教学环节的各类设计和管理力度，将实习基地建设和实践能力培养作为教学工作的重要环节，注重农业行业企业的深度参与培养，进行了人才培养方案的修订。2015年4月，呼兰校区卓越农业人才培养教学用地获批并使用，实现了22门课程的田间授课。目前，学院已与农心、海利尔、诺普信等大的集团公司建立了10个就业实习基地，卓越人才培养初见成效。</w:t>
      </w:r>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2.科研方面</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学院将科研工作以基础研究和应用研究并重作为出发点，积极争取校内外各种资源，不断夯实科研基础。基础研究以各级各类基金为切点，目前合同经费已达620万元；应用研究以服务地方经济发展为己任，2015年7月，与黑龙江广川现代农业有限公司合作，挂牌成立了黑龙江大学-谷和非转基因大豆工程技术研究中心，2015年12月正式成立黑龙江谷和生物科技有限公司，注册资本3000万元，努力为龙江大豆产业振兴贡献力量。</w:t>
      </w:r>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3.学科方面</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不断调整整合现有的植保一级学科，凝练调整学科方向，在原有植物病理、农业昆虫与害虫防治、农药学三个二级学科的基础上，增加了植物资源利用研究方向，拓展了该一级学科的研究领域，提升了学院的整体研发实力。</w:t>
      </w:r>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4.师资培养</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不断整合师资队伍，加大对年轻教师的培养力度，2013年、2015年共2名教师获得黑龙江大学杰出青年基金支持；2014年、2015年共2名教师获得学校百人计划优秀人才支持。</w:t>
      </w:r>
      <w:bookmarkStart w:id="0" w:name="_GoBack"/>
      <w:bookmarkEnd w:id="0"/>
    </w:p>
    <w:p>
      <w:pPr>
        <w:spacing w:line="360" w:lineRule="auto"/>
        <w:ind w:firstLine="420"/>
        <w:rPr>
          <w:rFonts w:ascii="仿宋" w:hAnsi="仿宋" w:eastAsia="仿宋" w:cs="仿宋"/>
          <w:b/>
          <w:bCs/>
          <w:sz w:val="28"/>
          <w:szCs w:val="28"/>
        </w:rPr>
      </w:pPr>
      <w:r>
        <w:rPr>
          <w:rFonts w:hint="eastAsia" w:ascii="仿宋" w:hAnsi="仿宋" w:eastAsia="仿宋" w:cs="仿宋"/>
          <w:b/>
          <w:bCs/>
          <w:sz w:val="28"/>
          <w:szCs w:val="28"/>
        </w:rPr>
        <w:t>5.人才培养</w:t>
      </w:r>
    </w:p>
    <w:p>
      <w:pPr>
        <w:spacing w:line="360" w:lineRule="auto"/>
        <w:ind w:firstLine="420"/>
        <w:rPr>
          <w:rFonts w:ascii="仿宋" w:hAnsi="仿宋" w:eastAsia="仿宋" w:cs="仿宋"/>
          <w:sz w:val="28"/>
          <w:szCs w:val="28"/>
          <w:highlight w:val="none"/>
        </w:rPr>
      </w:pPr>
      <w:r>
        <w:rPr>
          <w:rFonts w:hint="eastAsia" w:ascii="仿宋" w:hAnsi="仿宋" w:eastAsia="仿宋" w:cs="仿宋"/>
          <w:sz w:val="28"/>
          <w:szCs w:val="28"/>
          <w:highlight w:val="none"/>
        </w:rPr>
        <w:t>五年累计培养</w:t>
      </w:r>
      <w:r>
        <w:rPr>
          <w:rFonts w:hint="eastAsia" w:ascii="仿宋" w:hAnsi="仿宋" w:eastAsia="仿宋" w:cs="仿宋"/>
          <w:sz w:val="28"/>
          <w:szCs w:val="28"/>
          <w:highlight w:val="none"/>
          <w:lang w:val="en-US" w:eastAsia="zh-CN"/>
        </w:rPr>
        <w:t>515</w:t>
      </w:r>
      <w:r>
        <w:rPr>
          <w:rFonts w:hint="eastAsia" w:ascii="仿宋" w:hAnsi="仿宋" w:eastAsia="仿宋" w:cs="仿宋"/>
          <w:sz w:val="28"/>
          <w:szCs w:val="28"/>
          <w:highlight w:val="none"/>
        </w:rPr>
        <w:t>名本科生，</w:t>
      </w:r>
      <w:r>
        <w:rPr>
          <w:rFonts w:hint="eastAsia" w:ascii="仿宋" w:hAnsi="仿宋" w:eastAsia="仿宋" w:cs="仿宋"/>
          <w:sz w:val="28"/>
          <w:szCs w:val="28"/>
          <w:highlight w:val="none"/>
          <w:lang w:val="en-US" w:eastAsia="zh-CN"/>
        </w:rPr>
        <w:t>93</w:t>
      </w:r>
      <w:r>
        <w:rPr>
          <w:rFonts w:hint="eastAsia" w:ascii="仿宋" w:hAnsi="仿宋" w:eastAsia="仿宋" w:cs="仿宋"/>
          <w:sz w:val="28"/>
          <w:szCs w:val="28"/>
          <w:highlight w:val="none"/>
        </w:rPr>
        <w:t>名研究生，</w:t>
      </w:r>
      <w:r>
        <w:rPr>
          <w:rFonts w:hint="eastAsia" w:ascii="仿宋" w:hAnsi="仿宋" w:eastAsia="仿宋" w:cs="仿宋"/>
          <w:sz w:val="28"/>
          <w:szCs w:val="28"/>
          <w:highlight w:val="none"/>
          <w:lang w:val="en-US" w:eastAsia="zh-CN"/>
        </w:rPr>
        <w:t>64</w:t>
      </w:r>
      <w:r>
        <w:rPr>
          <w:rFonts w:hint="eastAsia" w:ascii="仿宋" w:hAnsi="仿宋" w:eastAsia="仿宋" w:cs="仿宋"/>
          <w:sz w:val="28"/>
          <w:szCs w:val="28"/>
          <w:highlight w:val="none"/>
        </w:rPr>
        <w:t>名</w:t>
      </w:r>
      <w:r>
        <w:rPr>
          <w:rFonts w:hint="eastAsia" w:ascii="仿宋" w:hAnsi="仿宋" w:eastAsia="仿宋" w:cs="仿宋"/>
          <w:sz w:val="28"/>
          <w:szCs w:val="28"/>
          <w:highlight w:val="none"/>
          <w:lang w:eastAsia="zh-CN"/>
        </w:rPr>
        <w:t>农业推广硕士，实习实践累计</w:t>
      </w:r>
      <w:r>
        <w:rPr>
          <w:rFonts w:hint="eastAsia" w:ascii="仿宋" w:hAnsi="仿宋" w:eastAsia="仿宋" w:cs="仿宋"/>
          <w:sz w:val="28"/>
          <w:szCs w:val="28"/>
          <w:highlight w:val="none"/>
          <w:lang w:val="en-US" w:eastAsia="zh-CN"/>
        </w:rPr>
        <w:t>779人次。</w:t>
      </w:r>
      <w:r>
        <w:rPr>
          <w:rFonts w:hint="eastAsia" w:ascii="仿宋" w:hAnsi="仿宋" w:eastAsia="仿宋" w:cs="仿宋"/>
          <w:sz w:val="28"/>
          <w:szCs w:val="28"/>
        </w:rPr>
        <w:t>本科毕业生考研率达21.02%，就业率在90%以上，居学校前列。分别考取北京大学、中国农业大学、中国科学院、中国农科院等国</w:t>
      </w:r>
      <w:r>
        <w:rPr>
          <w:rFonts w:hint="eastAsia" w:ascii="仿宋" w:hAnsi="仿宋" w:eastAsia="仿宋" w:cs="仿宋"/>
          <w:sz w:val="28"/>
          <w:szCs w:val="28"/>
          <w:highlight w:val="none"/>
        </w:rPr>
        <w:t>内知名大学和科研院所；硕士研究生有2人次获得国家奖学金资助</w:t>
      </w:r>
      <w:r>
        <w:rPr>
          <w:rFonts w:hint="eastAsia" w:ascii="仿宋" w:hAnsi="仿宋" w:eastAsia="仿宋" w:cs="仿宋"/>
          <w:sz w:val="28"/>
          <w:szCs w:val="28"/>
          <w:highlight w:val="none"/>
          <w:lang w:eastAsia="zh-CN"/>
        </w:rPr>
        <w:t>；目前已有</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位</w:t>
      </w:r>
      <w:r>
        <w:rPr>
          <w:rFonts w:hint="eastAsia" w:ascii="仿宋" w:hAnsi="仿宋" w:eastAsia="仿宋" w:cs="仿宋"/>
          <w:sz w:val="28"/>
          <w:szCs w:val="28"/>
          <w:highlight w:val="none"/>
          <w:lang w:eastAsia="zh-CN"/>
        </w:rPr>
        <w:t>学生</w:t>
      </w:r>
      <w:r>
        <w:rPr>
          <w:rFonts w:hint="eastAsia" w:ascii="仿宋" w:hAnsi="仿宋" w:eastAsia="仿宋" w:cs="仿宋"/>
          <w:sz w:val="28"/>
          <w:szCs w:val="28"/>
          <w:highlight w:val="none"/>
        </w:rPr>
        <w:t>走上了领导岗位。</w:t>
      </w:r>
    </w:p>
    <w:p>
      <w:pPr>
        <w:spacing w:line="360" w:lineRule="auto"/>
        <w:rPr>
          <w:rFonts w:ascii="仿宋" w:hAnsi="仿宋" w:eastAsia="仿宋" w:cs="仿宋"/>
          <w:b/>
          <w:bCs/>
          <w:sz w:val="28"/>
          <w:szCs w:val="28"/>
          <w:highlight w:val="none"/>
        </w:rPr>
      </w:pPr>
      <w:r>
        <w:rPr>
          <w:rFonts w:hint="eastAsia" w:ascii="仿宋" w:hAnsi="仿宋" w:eastAsia="仿宋" w:cs="仿宋"/>
          <w:b/>
          <w:bCs/>
          <w:sz w:val="28"/>
          <w:szCs w:val="28"/>
          <w:highlight w:val="none"/>
        </w:rPr>
        <w:t xml:space="preserve">  （三）存在的主要问题</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学院的仪器设备投入不足已经严重制约了学院的教学和科研发展，此外，由于人员年龄偏大，学科结构不合理，已严重制约了学院的后续发展，因此，急需引进高水平的学科领军人物和年轻博士以增强整体师资力量；同基础研究相比，应用研究滞后现象凸显，学院服务社会的功能薄弱；教师职称结构不合理，教授比例较低，影响国家级重大项目竞争；教学和科研试验用地不足，严重制约教学科研工作的有效开展及良性循环。</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（四）发展环境分析</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学院作为涉农院系，在黑龙江大学这个综合性大学里具有兼容并蓄的优势。在国家大力发展农业的良好背景下，作为农业大省的黑龙江省非常需要科学技术的引领。相信，在学校、省和国家的大力支持下，在创新驱动的引领下，学院一定会顺势而为，籍借“大众创业、万众创新”的东风，为龙江农业发展提供更多的智力支撑，争创佳绩。</w:t>
      </w:r>
    </w:p>
    <w:p>
      <w:pPr>
        <w:spacing w:line="360" w:lineRule="auto"/>
        <w:rPr>
          <w:rFonts w:ascii="黑体" w:hAnsi="黑体" w:eastAsia="黑体" w:cs="黑体"/>
          <w:color w:val="000000" w:themeColor="text1"/>
          <w:sz w:val="28"/>
          <w:szCs w:val="28"/>
        </w:rPr>
      </w:pPr>
      <w:r>
        <w:rPr>
          <w:rFonts w:hint="eastAsia" w:ascii="黑体" w:hAnsi="黑体" w:eastAsia="黑体" w:cs="黑体"/>
          <w:b/>
          <w:bCs/>
          <w:color w:val="E36C09" w:themeColor="accent6" w:themeShade="BF"/>
          <w:sz w:val="28"/>
          <w:szCs w:val="28"/>
        </w:rPr>
        <w:t xml:space="preserve">  </w:t>
      </w:r>
      <w:r>
        <w:rPr>
          <w:rFonts w:hint="eastAsia" w:ascii="黑体" w:hAnsi="黑体" w:eastAsia="黑体" w:cs="黑体"/>
          <w:b/>
          <w:bCs/>
          <w:color w:val="000000" w:themeColor="text1"/>
          <w:sz w:val="28"/>
          <w:szCs w:val="28"/>
        </w:rPr>
        <w:t xml:space="preserve"> 二、发展定位</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（一）发展思路</w:t>
      </w:r>
    </w:p>
    <w:p>
      <w:pPr>
        <w:spacing w:line="360" w:lineRule="auto"/>
        <w:rPr>
          <w:rFonts w:ascii="仿宋" w:hAnsi="仿宋" w:eastAsia="仿宋" w:cs="仿宋"/>
          <w:sz w:val="28"/>
          <w:szCs w:val="28"/>
        </w:rPr>
      </w:pPr>
      <w:r>
        <w:rPr>
          <w:rFonts w:hint="eastAsia" w:ascii="仿宋" w:hAnsi="仿宋" w:eastAsia="仿宋" w:cs="仿宋"/>
          <w:sz w:val="28"/>
          <w:szCs w:val="28"/>
        </w:rPr>
        <w:t xml:space="preserve">   牢固树立错位发展（错位竞争）的理念，暨“人无我有、人有我精、人精我专”。以现代化大农业为切点，以“环境生态类”为主特色，基础研究和应用研究并重。</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（二）办学定位</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将学生培养成具有创新精神，实践动手能力强，综合素质高，能适应农业现代化和社会主义新农村建设需要的应用型卓越农业人才。  </w:t>
      </w:r>
    </w:p>
    <w:p>
      <w:pPr>
        <w:spacing w:line="360" w:lineRule="auto"/>
        <w:rPr>
          <w:rFonts w:ascii="黑体" w:hAnsi="黑体" w:eastAsia="黑体" w:cs="黑体"/>
          <w:b/>
          <w:bCs/>
          <w:sz w:val="28"/>
          <w:szCs w:val="28"/>
        </w:rPr>
      </w:pPr>
      <w:r>
        <w:rPr>
          <w:rFonts w:hint="eastAsia" w:ascii="仿宋" w:hAnsi="仿宋" w:eastAsia="仿宋" w:cs="仿宋"/>
          <w:sz w:val="28"/>
          <w:szCs w:val="28"/>
        </w:rPr>
        <w:t xml:space="preserve">    </w:t>
      </w:r>
      <w:r>
        <w:rPr>
          <w:rFonts w:hint="eastAsia" w:ascii="黑体" w:hAnsi="黑体" w:eastAsia="黑体" w:cs="黑体"/>
          <w:b/>
          <w:bCs/>
          <w:sz w:val="28"/>
          <w:szCs w:val="28"/>
        </w:rPr>
        <w:t>三、奋斗目标</w:t>
      </w:r>
    </w:p>
    <w:p>
      <w:pPr>
        <w:spacing w:line="360" w:lineRule="auto"/>
        <w:rPr>
          <w:rFonts w:ascii="仿宋" w:hAnsi="仿宋" w:eastAsia="仿宋" w:cs="仿宋"/>
          <w:sz w:val="28"/>
          <w:szCs w:val="28"/>
        </w:rPr>
      </w:pPr>
      <w:r>
        <w:rPr>
          <w:rFonts w:hint="eastAsia" w:ascii="仿宋" w:hAnsi="仿宋" w:eastAsia="仿宋" w:cs="仿宋"/>
          <w:sz w:val="28"/>
          <w:szCs w:val="28"/>
        </w:rPr>
        <w:t xml:space="preserve">   打造“卓越”农业人才培养的国内品牌，提高本科就业率和企业的认可度；提升研究生培养质量，严格控制出口，打造精品工程；扩大社会服务的范围，提高服务层次；创建具有黑大特色的农学院，争取国内一流。</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学科建设方面，将植保一级学科（校级）培育成省级一级学科；人才培养方面，计划培育校级教学名师及教学团队各1个，省级卓越试点争取晋升为国家级；科学研究方面，科研经费突破千万元，科研成果玉米和大豆有效转化，科研获奖省部级2</w:t>
      </w:r>
      <w:r>
        <w:rPr>
          <w:rFonts w:ascii="Times New Roman" w:hAnsi="Times New Roman" w:eastAsia="仿宋" w:cs="Times New Roman"/>
          <w:sz w:val="28"/>
          <w:szCs w:val="28"/>
        </w:rPr>
        <w:t>~</w:t>
      </w:r>
      <w:r>
        <w:rPr>
          <w:rFonts w:hint="eastAsia" w:ascii="仿宋" w:hAnsi="仿宋" w:eastAsia="仿宋" w:cs="仿宋"/>
          <w:sz w:val="28"/>
          <w:szCs w:val="28"/>
        </w:rPr>
        <w:t>4项，力争打造2个省级平台、1个国家级平台；队伍建设方面，梯队结构合理、趋于年轻化；合作交流方面实现本科生、研究生互换交流的学习模式，争取学院全方位的对外交流与合作。</w:t>
      </w:r>
    </w:p>
    <w:p>
      <w:pPr>
        <w:spacing w:line="360" w:lineRule="auto"/>
        <w:ind w:firstLine="703" w:firstLineChars="250"/>
        <w:rPr>
          <w:rFonts w:hint="eastAsia" w:ascii="黑体" w:hAnsi="黑体" w:eastAsia="黑体" w:cs="黑体"/>
          <w:b/>
          <w:bCs/>
          <w:sz w:val="28"/>
          <w:szCs w:val="28"/>
        </w:rPr>
      </w:pPr>
      <w:r>
        <w:rPr>
          <w:rFonts w:hint="eastAsia" w:ascii="黑体" w:hAnsi="黑体" w:eastAsia="黑体" w:cs="黑体"/>
          <w:b/>
          <w:bCs/>
          <w:sz w:val="28"/>
          <w:szCs w:val="28"/>
        </w:rPr>
        <w:t>四、具体措施</w:t>
      </w:r>
    </w:p>
    <w:p>
      <w:pPr>
        <w:spacing w:line="360" w:lineRule="auto"/>
        <w:ind w:firstLine="570"/>
        <w:rPr>
          <w:rFonts w:ascii="黑体" w:hAnsi="黑体" w:eastAsia="黑体" w:cs="黑体"/>
          <w:b/>
          <w:bCs/>
          <w:sz w:val="28"/>
          <w:szCs w:val="28"/>
        </w:rPr>
      </w:pPr>
      <w:r>
        <w:rPr>
          <w:rFonts w:hint="eastAsia" w:ascii="黑体" w:hAnsi="黑体" w:eastAsia="黑体" w:cs="黑体"/>
          <w:b/>
          <w:bCs/>
          <w:sz w:val="28"/>
          <w:szCs w:val="28"/>
        </w:rPr>
        <w:t>（一）教学、科研及学科</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1.加强“卓越”农业人才培养</w:t>
      </w:r>
    </w:p>
    <w:p>
      <w:pPr>
        <w:spacing w:line="360" w:lineRule="auto"/>
        <w:ind w:firstLine="560" w:firstLineChars="200"/>
        <w:rPr>
          <w:rFonts w:ascii="仿宋" w:hAnsi="仿宋" w:eastAsia="仿宋" w:cs="仿宋"/>
          <w:b/>
          <w:color w:val="FF0000"/>
          <w:sz w:val="28"/>
          <w:szCs w:val="28"/>
        </w:rPr>
      </w:pPr>
      <w:r>
        <w:rPr>
          <w:rFonts w:hint="eastAsia" w:ascii="仿宋" w:hAnsi="仿宋" w:eastAsia="仿宋" w:cs="仿宋"/>
          <w:color w:val="000000" w:themeColor="text1"/>
          <w:sz w:val="28"/>
          <w:szCs w:val="28"/>
        </w:rPr>
        <w:t>人才培养是高校的核心任务，“十三五”期间</w:t>
      </w:r>
      <w:r>
        <w:rPr>
          <w:rFonts w:hint="eastAsia" w:ascii="仿宋_GB2312" w:hAnsi="宋体" w:eastAsia="仿宋_GB2312"/>
          <w:color w:val="000000"/>
          <w:sz w:val="28"/>
          <w:szCs w:val="28"/>
        </w:rPr>
        <w:t>明确“卓越”农业人才培养的目标，不断完善“卓越”农业人才培养方式和培养方案，依托课程体系设计，加大实践教学环节比例，根据就业实习企业需求，争取实现“订单式” 卓越农业人才培养。</w:t>
      </w:r>
      <w:r>
        <w:rPr>
          <w:rFonts w:hint="eastAsia" w:ascii="仿宋" w:hAnsi="仿宋" w:eastAsia="仿宋" w:cs="仿宋"/>
          <w:b/>
          <w:bCs/>
          <w:sz w:val="28"/>
          <w:szCs w:val="28"/>
        </w:rPr>
        <w:t xml:space="preserve"> </w:t>
      </w:r>
    </w:p>
    <w:p>
      <w:pPr>
        <w:spacing w:line="360" w:lineRule="auto"/>
        <w:ind w:firstLine="555"/>
        <w:rPr>
          <w:rFonts w:ascii="仿宋" w:hAnsi="仿宋" w:eastAsia="仿宋" w:cs="仿宋"/>
          <w:b/>
          <w:bCs/>
          <w:sz w:val="28"/>
          <w:szCs w:val="28"/>
        </w:rPr>
      </w:pPr>
      <w:r>
        <w:rPr>
          <w:rFonts w:hint="eastAsia" w:ascii="仿宋" w:hAnsi="仿宋" w:eastAsia="仿宋" w:cs="仿宋"/>
          <w:b/>
          <w:bCs/>
          <w:sz w:val="28"/>
          <w:szCs w:val="28"/>
        </w:rPr>
        <w:t xml:space="preserve"> 2.加强师资队伍建设 </w:t>
      </w:r>
    </w:p>
    <w:p>
      <w:pPr>
        <w:spacing w:line="360" w:lineRule="auto"/>
        <w:ind w:firstLine="560" w:firstLineChars="200"/>
        <w:rPr>
          <w:rFonts w:ascii="仿宋_GB2312" w:hAnsi="仿宋_GB2312" w:eastAsia="仿宋_GB2312" w:cs="仿宋_GB2312"/>
          <w:color w:val="000000" w:themeColor="text1"/>
          <w:sz w:val="28"/>
          <w:szCs w:val="28"/>
        </w:rPr>
      </w:pPr>
      <w:r>
        <w:rPr>
          <w:rFonts w:hint="eastAsia" w:ascii="仿宋_GB2312" w:hAnsi="宋体" w:eastAsia="仿宋_GB2312"/>
          <w:color w:val="000000"/>
          <w:sz w:val="28"/>
          <w:szCs w:val="28"/>
        </w:rPr>
        <w:t>根据学院现有师资实际情况，实行“引育并举”的方式，</w:t>
      </w:r>
      <w:r>
        <w:rPr>
          <w:rFonts w:hint="eastAsia" w:ascii="仿宋_GB2312" w:hAnsi="仿宋_GB2312" w:eastAsia="仿宋_GB2312" w:cs="仿宋_GB2312"/>
          <w:color w:val="000000"/>
          <w:sz w:val="28"/>
          <w:szCs w:val="28"/>
        </w:rPr>
        <w:t>加强引进，</w:t>
      </w:r>
      <w:r>
        <w:rPr>
          <w:rFonts w:hint="eastAsia" w:ascii="仿宋_GB2312" w:hAnsi="宋体" w:eastAsia="仿宋_GB2312"/>
          <w:color w:val="000000"/>
          <w:sz w:val="28"/>
          <w:szCs w:val="28"/>
        </w:rPr>
        <w:t>5年内争取引进</w:t>
      </w:r>
      <w:r>
        <w:rPr>
          <w:rFonts w:eastAsia="仿宋_GB2312"/>
          <w:color w:val="000000"/>
          <w:sz w:val="28"/>
          <w:szCs w:val="28"/>
        </w:rPr>
        <w:t>1</w:t>
      </w:r>
      <w:r>
        <w:rPr>
          <w:rFonts w:hint="eastAsia" w:ascii="仿宋_GB2312" w:hAnsi="宋体" w:eastAsia="仿宋_GB2312"/>
          <w:color w:val="000000"/>
          <w:sz w:val="28"/>
          <w:szCs w:val="28"/>
        </w:rPr>
        <w:t>2</w:t>
      </w:r>
      <w:r>
        <w:rPr>
          <w:rFonts w:hint="eastAsia" w:ascii="Times New Roman" w:hAnsi="仿宋_GB2312" w:eastAsia="仿宋_GB2312" w:cs="Times New Roman"/>
          <w:color w:val="000000"/>
          <w:sz w:val="28"/>
          <w:szCs w:val="28"/>
        </w:rPr>
        <w:t>~</w:t>
      </w:r>
      <w:r>
        <w:rPr>
          <w:rFonts w:eastAsia="仿宋_GB2312" w:cs="仿宋_GB2312"/>
          <w:color w:val="000000"/>
          <w:sz w:val="28"/>
          <w:szCs w:val="28"/>
        </w:rPr>
        <w:t>1</w:t>
      </w:r>
      <w:r>
        <w:rPr>
          <w:rFonts w:hint="eastAsia" w:ascii="仿宋_GB2312" w:hAnsi="仿宋_GB2312" w:eastAsia="仿宋_GB2312" w:cs="仿宋_GB2312"/>
          <w:color w:val="000000"/>
          <w:sz w:val="28"/>
          <w:szCs w:val="28"/>
        </w:rPr>
        <w:t>4名专任教师充实师资队伍，</w:t>
      </w:r>
      <w:r>
        <w:rPr>
          <w:rFonts w:hint="eastAsia" w:ascii="仿宋" w:hAnsi="仿宋" w:eastAsia="仿宋" w:cs="仿宋"/>
          <w:sz w:val="28"/>
          <w:szCs w:val="28"/>
        </w:rPr>
        <w:t>“十三五”期间计划引进高层次专业人才2人，</w:t>
      </w:r>
      <w:r>
        <w:rPr>
          <w:rFonts w:hint="eastAsia" w:ascii="仿宋_GB2312" w:hAnsi="仿宋_GB2312" w:eastAsia="仿宋_GB2312" w:cs="仿宋_GB2312"/>
          <w:color w:val="000000"/>
          <w:sz w:val="28"/>
          <w:szCs w:val="28"/>
        </w:rPr>
        <w:t>主要是土壤学、植物病理等领域的博士；同时对学科现有的副高职以上博士加快自我培养，组织专任教师参加各种形式的培训（企业实训），实现教师素质和课堂教学质量的提高。</w:t>
      </w:r>
      <w:r>
        <w:rPr>
          <w:rFonts w:hint="eastAsia" w:ascii="仿宋_GB2312" w:hAnsi="仿宋_GB2312" w:eastAsia="仿宋_GB2312" w:cs="仿宋_GB2312"/>
          <w:color w:val="000000" w:themeColor="text1"/>
          <w:sz w:val="28"/>
          <w:szCs w:val="28"/>
        </w:rPr>
        <w:t>力争在“十三五”期间培育校级教学名师、教学团队各1个，省级卓越试点晋升为国家级卓越试点。</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3.加强教学基础设施和实践基地建设</w:t>
      </w:r>
    </w:p>
    <w:p>
      <w:pPr>
        <w:snapToGrid w:val="0"/>
        <w:spacing w:line="360" w:lineRule="auto"/>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仿宋_GB2312" w:eastAsia="仿宋_GB2312" w:cs="仿宋_GB2312"/>
          <w:color w:val="000000"/>
          <w:sz w:val="28"/>
          <w:szCs w:val="28"/>
        </w:rPr>
        <w:t xml:space="preserve"> 进一步加强教学实验室管理，逐步改善实验室教学条件，积极争取各类支持，争取每年50</w:t>
      </w:r>
      <w:r>
        <w:rPr>
          <w:rFonts w:ascii="Times New Roman" w:hAnsi="Times New Roman" w:eastAsia="仿宋_GB2312" w:cs="Times New Roman"/>
          <w:color w:val="000000"/>
          <w:sz w:val="28"/>
          <w:szCs w:val="28"/>
        </w:rPr>
        <w:t>~</w:t>
      </w:r>
      <w:r>
        <w:rPr>
          <w:rFonts w:hint="eastAsia" w:ascii="仿宋_GB2312" w:hAnsi="仿宋_GB2312" w:eastAsia="仿宋_GB2312" w:cs="仿宋_GB2312"/>
          <w:color w:val="000000"/>
          <w:sz w:val="28"/>
          <w:szCs w:val="28"/>
        </w:rPr>
        <w:t>100万元左右的资金投入，力争建设一个高端仪器设备统一管理的实验室。</w:t>
      </w:r>
      <w:r>
        <w:rPr>
          <w:rFonts w:hint="eastAsia" w:ascii="仿宋_GB2312" w:hAnsi="宋体" w:eastAsia="仿宋_GB2312"/>
          <w:color w:val="000000"/>
          <w:sz w:val="28"/>
          <w:szCs w:val="28"/>
        </w:rPr>
        <w:t>加强对现有实践教学基地的建设，拓展2</w:t>
      </w:r>
      <w:r>
        <w:rPr>
          <w:rFonts w:ascii="Times New Roman" w:hAnsi="Times New Roman" w:eastAsia="仿宋_GB2312" w:cs="Times New Roman"/>
          <w:color w:val="000000"/>
          <w:sz w:val="28"/>
          <w:szCs w:val="28"/>
        </w:rPr>
        <w:t>~</w:t>
      </w:r>
      <w:r>
        <w:rPr>
          <w:rFonts w:hint="eastAsia" w:ascii="仿宋_GB2312" w:hAnsi="仿宋_GB2312" w:eastAsia="仿宋_GB2312" w:cs="仿宋_GB2312"/>
          <w:color w:val="000000"/>
          <w:sz w:val="28"/>
          <w:szCs w:val="28"/>
        </w:rPr>
        <w:t>3个新的就业</w:t>
      </w:r>
      <w:r>
        <w:rPr>
          <w:rFonts w:hint="eastAsia" w:ascii="仿宋_GB2312" w:hAnsi="仿宋_GB2312" w:eastAsia="仿宋_GB2312" w:cs="仿宋_GB2312"/>
          <w:sz w:val="28"/>
          <w:szCs w:val="28"/>
        </w:rPr>
        <w:t>型实践教学基地，</w:t>
      </w:r>
      <w:r>
        <w:rPr>
          <w:rFonts w:hint="eastAsia" w:ascii="仿宋_GB2312" w:hAnsi="宋体" w:eastAsia="仿宋_GB2312"/>
          <w:sz w:val="28"/>
          <w:szCs w:val="28"/>
        </w:rPr>
        <w:t>为卓越农业人才培养提供坚实的保障。同时，进一步加强对呼兰田间教学用地的管理，统一规划，逐步争取一些基本条件，如放置农具、种子、化肥等物品的储藏间，可供教师和学生休息的房间等。</w:t>
      </w:r>
    </w:p>
    <w:p>
      <w:pPr>
        <w:snapToGrid w:val="0"/>
        <w:spacing w:line="360" w:lineRule="auto"/>
        <w:rPr>
          <w:rFonts w:ascii="仿宋" w:hAnsi="仿宋" w:eastAsia="仿宋" w:cs="仿宋"/>
          <w:sz w:val="28"/>
          <w:szCs w:val="28"/>
        </w:rPr>
      </w:pPr>
      <w:r>
        <w:rPr>
          <w:rFonts w:hint="eastAsia" w:ascii="仿宋_GB2312" w:hAnsi="宋体" w:eastAsia="仿宋_GB2312"/>
          <w:sz w:val="28"/>
          <w:szCs w:val="28"/>
        </w:rPr>
        <w:t xml:space="preserve"> </w:t>
      </w:r>
      <w:r>
        <w:rPr>
          <w:rFonts w:hint="eastAsia" w:ascii="仿宋" w:hAnsi="仿宋" w:eastAsia="仿宋" w:cs="仿宋"/>
          <w:b/>
          <w:bCs/>
          <w:sz w:val="28"/>
          <w:szCs w:val="28"/>
        </w:rPr>
        <w:t xml:space="preserve">   4.进一步规范研究生的教学与管理</w:t>
      </w:r>
      <w:r>
        <w:rPr>
          <w:rFonts w:hint="eastAsia" w:ascii="仿宋" w:hAnsi="仿宋" w:eastAsia="仿宋" w:cs="仿宋"/>
          <w:b/>
          <w:bCs/>
          <w:sz w:val="28"/>
          <w:szCs w:val="28"/>
        </w:rPr>
        <w:br w:type="textWrapping"/>
      </w:r>
      <w:r>
        <w:rPr>
          <w:rFonts w:hint="eastAsia" w:ascii="仿宋" w:hAnsi="仿宋" w:eastAsia="仿宋" w:cs="仿宋"/>
          <w:sz w:val="28"/>
          <w:szCs w:val="28"/>
        </w:rPr>
        <w:t xml:space="preserve">   不断加大宣传力度，充分利用新媒体技术，力争研究生招生每年按计划招生人数招满（35人，全日制15人，农业推广20人）；探索硕士毕业发表论文制度，</w:t>
      </w:r>
      <w:r>
        <w:rPr>
          <w:rFonts w:hint="eastAsia" w:ascii="仿宋" w:hAnsi="仿宋" w:eastAsia="仿宋" w:cs="仿宋"/>
          <w:color w:val="000000" w:themeColor="text1"/>
          <w:sz w:val="28"/>
          <w:szCs w:val="28"/>
        </w:rPr>
        <w:t>加强优秀硕士毕业生培养和优秀硕士毕业论文培育工作；</w:t>
      </w:r>
      <w:r>
        <w:rPr>
          <w:rFonts w:hint="eastAsia" w:ascii="仿宋" w:hAnsi="仿宋" w:eastAsia="仿宋" w:cs="仿宋"/>
          <w:sz w:val="28"/>
          <w:szCs w:val="28"/>
        </w:rPr>
        <w:t>在现有课程体系基础上，结合研究生学位评估工作的有关要求，广泛调研、借鉴其他兄弟院校同专业的研究生课程体系设置，进一步完善研究生授课体系；加大实践环节比重，使之更趋于科学化，</w:t>
      </w:r>
      <w:r>
        <w:rPr>
          <w:rFonts w:hint="eastAsia" w:ascii="仿宋" w:hAnsi="仿宋" w:eastAsia="仿宋" w:cs="仿宋"/>
          <w:bCs/>
          <w:sz w:val="28"/>
          <w:szCs w:val="28"/>
        </w:rPr>
        <w:t>进一步规范研究生的教学与管理</w:t>
      </w:r>
      <w:r>
        <w:rPr>
          <w:rFonts w:hint="eastAsia" w:ascii="仿宋" w:hAnsi="仿宋" w:eastAsia="仿宋" w:cs="仿宋"/>
          <w:sz w:val="28"/>
          <w:szCs w:val="28"/>
        </w:rPr>
        <w:t>。</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5.项目申报</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在学院“十二五”项目申报的基础上，“十三五”期间力争所有项目申报实现预申报，提高申获比率。努力实现项目申报层次的突破：申获1项及以上国家重大专项子项目，申获1项国家自然科学基金重点项目，申获国家自然科学基金面上项目5项以上，申获黑龙江省自然科学基金项目5项以上。</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6.成果产出</w:t>
      </w:r>
    </w:p>
    <w:p>
      <w:pPr>
        <w:spacing w:line="360" w:lineRule="auto"/>
        <w:rPr>
          <w:rFonts w:ascii="仿宋" w:hAnsi="仿宋" w:eastAsia="仿宋" w:cs="仿宋"/>
          <w:b/>
          <w:bCs/>
          <w:sz w:val="28"/>
          <w:szCs w:val="28"/>
        </w:rPr>
      </w:pPr>
      <w:r>
        <w:rPr>
          <w:rFonts w:hint="eastAsia" w:ascii="仿宋" w:hAnsi="仿宋" w:eastAsia="仿宋" w:cs="仿宋"/>
          <w:sz w:val="28"/>
          <w:szCs w:val="28"/>
        </w:rPr>
        <w:t xml:space="preserve">   高水平成果的产出是衡量一个教学研究单位科研实力的重要标志，“十三五”期间力争产出成果：省科学技术奖2项及以上；高水平论文（SCI）20篇以上，其中（影响因子5.0以上）5篇及以上，其他SCI收录论文10篇以上；出版高水平专著（在全国具有影响力、科学出版社出版）2部或以上；授权国家发明专利5项以上</w:t>
      </w:r>
      <w:r>
        <w:rPr>
          <w:rFonts w:hint="eastAsia" w:ascii="仿宋" w:hAnsi="仿宋" w:eastAsia="仿宋" w:cs="仿宋"/>
          <w:b/>
          <w:bCs/>
          <w:sz w:val="28"/>
          <w:szCs w:val="28"/>
        </w:rPr>
        <w:t xml:space="preserve">   </w:t>
      </w:r>
    </w:p>
    <w:p>
      <w:pPr>
        <w:spacing w:line="360" w:lineRule="auto"/>
        <w:ind w:firstLine="422" w:firstLineChars="150"/>
        <w:rPr>
          <w:rFonts w:ascii="仿宋" w:hAnsi="仿宋" w:eastAsia="仿宋" w:cs="仿宋"/>
          <w:b/>
          <w:bCs/>
          <w:sz w:val="28"/>
          <w:szCs w:val="28"/>
        </w:rPr>
      </w:pPr>
      <w:r>
        <w:rPr>
          <w:rFonts w:hint="eastAsia" w:ascii="仿宋" w:hAnsi="仿宋" w:eastAsia="仿宋" w:cs="仿宋"/>
          <w:b/>
          <w:bCs/>
          <w:sz w:val="28"/>
          <w:szCs w:val="28"/>
        </w:rPr>
        <w:t>（二）平台建设</w:t>
      </w:r>
    </w:p>
    <w:p>
      <w:pPr>
        <w:spacing w:line="360" w:lineRule="auto"/>
        <w:ind w:firstLine="555"/>
        <w:rPr>
          <w:rFonts w:hint="eastAsia" w:ascii="仿宋" w:hAnsi="仿宋" w:eastAsia="仿宋" w:cs="仿宋"/>
          <w:sz w:val="28"/>
          <w:szCs w:val="28"/>
        </w:rPr>
      </w:pPr>
      <w:r>
        <w:rPr>
          <w:rFonts w:hint="eastAsia" w:ascii="仿宋" w:hAnsi="仿宋" w:eastAsia="仿宋" w:cs="仿宋"/>
          <w:sz w:val="28"/>
          <w:szCs w:val="28"/>
        </w:rPr>
        <w:t>现有的校级重点实验室“农业资源利用与环境安全重点实验室”拟累计投入200万元，将其升级为省高校重点实验室；依托该实验室拟申请各级各类项目经费400万元以上。现有的黑龙江大学农业资源与环境学院国际持久性有毒物质联合研究中心升级为黑龙江大学校级重点实验室；依托该校级重点实验室拟申请各级各类项目经费200万元以上；发表高水平论文（SCI）10篇以上。同时，学院将加大对于现有校级重点学科的建设力度，每年拟投入建设经费20万元以上，依托该重点学科拟申请各级各类项目100万元以上；发表C类及以上层次的论文20篇以上。</w:t>
      </w:r>
    </w:p>
    <w:p>
      <w:pPr>
        <w:spacing w:line="360" w:lineRule="auto"/>
        <w:ind w:firstLine="281" w:firstLineChars="100"/>
        <w:rPr>
          <w:rFonts w:ascii="仿宋" w:hAnsi="仿宋" w:eastAsia="仿宋" w:cs="仿宋"/>
          <w:b/>
          <w:bCs/>
          <w:sz w:val="28"/>
          <w:szCs w:val="28"/>
        </w:rPr>
      </w:pPr>
      <w:r>
        <w:rPr>
          <w:rFonts w:hint="eastAsia" w:ascii="仿宋" w:hAnsi="仿宋" w:eastAsia="仿宋" w:cs="仿宋"/>
          <w:b/>
          <w:bCs/>
          <w:sz w:val="28"/>
          <w:szCs w:val="28"/>
        </w:rPr>
        <w:t xml:space="preserve"> （三）社会服务</w:t>
      </w:r>
    </w:p>
    <w:p>
      <w:pPr>
        <w:spacing w:line="360" w:lineRule="auto"/>
        <w:rPr>
          <w:rFonts w:ascii="仿宋" w:hAnsi="仿宋" w:eastAsia="仿宋" w:cs="仿宋"/>
          <w:sz w:val="28"/>
          <w:szCs w:val="28"/>
        </w:rPr>
      </w:pPr>
      <w:r>
        <w:rPr>
          <w:rFonts w:hint="eastAsia" w:ascii="仿宋" w:hAnsi="仿宋" w:eastAsia="仿宋" w:cs="仿宋"/>
          <w:sz w:val="28"/>
          <w:szCs w:val="28"/>
        </w:rPr>
        <w:t xml:space="preserve">   有效契合学校2011项目建设，积极参与生物质高效利用2011建设项目，努力实现振兴龙江的产业功能；将黑龙江大学-谷和非转基因大豆工程技术研究中心的建设工作不断向前推进，在与企业的对接中梳理成果、不断强化大豆成果转化落地及产业化进程，服务于区域经济。“十三五”实现参与循环农业工作，还废于环。</w:t>
      </w:r>
    </w:p>
    <w:p>
      <w:pPr>
        <w:spacing w:line="360" w:lineRule="auto"/>
        <w:ind w:firstLine="422" w:firstLineChars="150"/>
        <w:rPr>
          <w:rFonts w:ascii="仿宋" w:hAnsi="仿宋" w:eastAsia="仿宋" w:cs="仿宋"/>
          <w:b/>
          <w:bCs/>
          <w:sz w:val="28"/>
          <w:szCs w:val="28"/>
        </w:rPr>
      </w:pPr>
      <w:r>
        <w:rPr>
          <w:rFonts w:hint="eastAsia" w:ascii="仿宋" w:hAnsi="仿宋" w:eastAsia="仿宋" w:cs="仿宋"/>
          <w:b/>
          <w:bCs/>
          <w:sz w:val="28"/>
          <w:szCs w:val="28"/>
        </w:rPr>
        <w:t>（四）合作交流</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在现有基础上努力拓展合作的对象和领域。“十三五”期间，努力实现：与美国阿肯色大学达成师生互访及科研合作协议；与俄罗斯科学院远东分院植物研究所达成科研合作协议；与芬兰赫尔辛基大学环境科学系合作达成合作协议。</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（五）学生工作</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1.强化思想政治教育工作</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十三五”期间，学院学生工作将进一步结合党的十八大及十八届三中、四中和五中全会精神和习近平总书记系列重要讲话，重点加强网上思想文化阵地建设，要坚持立德树人，把培育和践行社会主义核心价值观融入学生工作中，强化思想引领，牢牢把握意识形态工作领导权。深入开展诚信、敬业、合作为重点的思想道德教育，强化责任意识，加强学生社会责任感和历史使命感教育。</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2.推进学风建设工作</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《农业资源与环境学院学生课堂考勤制度》等学风建设配套制度更完善更固定。结合学业预警制度，通过学生、家长、学院三方面共同提升学生自我管理、自我约束和自我学习的能力。</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3.维护学生安全稳定</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发挥学院四级维护安全稳定联络网作用。准确掌握并排查学院学生的不稳定因素，做好日常防范工作。重点加强对少数民族学生教育、管理、服务的一体化建设，完善维护少数民族学生安全稳定的专项预案。进一步加强学院心理健康教育工作的时效性，贯彻“教育与指导、预防与干预相结合”的心理健康教育工作模式。</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4.提升学院就业工作质量和水平</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加强就业信息化建设，在原有就业信息发布渠道的基础上，重点建设学院就业微信公众号，及时有效发布就业信息并掌握学生就业动态，在线完成就业指导和就业帮扶；积极开拓就业市场和渠道，结合学院专业特点和就业去向，认真开拓就业市场并做就业回访；强化学生就业意识教育，做好学生创业创新的动员和支持工作，提高实践技能和求职能力；做好就业实习工作，完善学院与企业“订单式人才”培养模式。</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5.开展创业教育，提升学生创业意识</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充分利用两课——职业生涯规划和就业指导课程，培养学生的创业意识、创业能力和创业人格，以满足知识经济时代对大学生的需求。提高学生发现问题、分析问题和解决问题的能力，同时特别强调培养学生的自我意识、参与意识和实干精神。</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6.扎实推进学生党建工作</w:t>
      </w:r>
    </w:p>
    <w:p>
      <w:pPr>
        <w:spacing w:line="360" w:lineRule="auto"/>
        <w:rPr>
          <w:rFonts w:ascii="仿宋" w:hAnsi="仿宋" w:eastAsia="仿宋" w:cs="仿宋"/>
          <w:sz w:val="28"/>
          <w:szCs w:val="28"/>
        </w:rPr>
      </w:pPr>
      <w:r>
        <w:rPr>
          <w:rFonts w:hint="eastAsia" w:ascii="仿宋" w:hAnsi="仿宋" w:eastAsia="仿宋" w:cs="仿宋"/>
          <w:sz w:val="28"/>
          <w:szCs w:val="28"/>
        </w:rPr>
        <w:t xml:space="preserve">   扎实推进党员先锋工程，创新开展学生党建活动，继续实施学生党员“亮牌示范”活动。强化基层党组织整体功能，重点加强学生党支部建设。严格按照组织发展程序，保质保量地完成组织发展工作。</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7.加强家庭经济困难学生感恩教育</w:t>
      </w:r>
    </w:p>
    <w:p>
      <w:pPr>
        <w:spacing w:line="360" w:lineRule="auto"/>
        <w:rPr>
          <w:rFonts w:ascii="仿宋" w:hAnsi="仿宋" w:eastAsia="仿宋" w:cs="仿宋"/>
          <w:sz w:val="28"/>
          <w:szCs w:val="28"/>
        </w:rPr>
      </w:pPr>
      <w:r>
        <w:rPr>
          <w:rFonts w:hint="eastAsia" w:ascii="仿宋" w:hAnsi="仿宋" w:eastAsia="仿宋" w:cs="仿宋"/>
          <w:sz w:val="28"/>
          <w:szCs w:val="28"/>
        </w:rPr>
        <w:t xml:space="preserve">   通过组织家庭经济困难学生参与我院党员爱心基地——哈尔滨残疾人托养培训中心志愿服务活动，以及结合感恩节开展系列感恩教育活动，引导家庭经济困难学生树立感恩意识，增强克服困难的信心，勇当学习和生活的强者。</w:t>
      </w:r>
    </w:p>
    <w:p>
      <w:pPr>
        <w:spacing w:line="360" w:lineRule="auto"/>
        <w:rPr>
          <w:rFonts w:ascii="仿宋" w:hAnsi="仿宋" w:eastAsia="仿宋" w:cs="仿宋"/>
          <w:b/>
          <w:bCs/>
          <w:sz w:val="28"/>
          <w:szCs w:val="28"/>
        </w:rPr>
      </w:pPr>
      <w:r>
        <w:rPr>
          <w:rFonts w:hint="eastAsia" w:ascii="仿宋" w:hAnsi="仿宋" w:eastAsia="仿宋" w:cs="仿宋"/>
          <w:b/>
          <w:bCs/>
          <w:sz w:val="28"/>
          <w:szCs w:val="28"/>
        </w:rPr>
        <w:t xml:space="preserve">   8.加强辅导员队伍建设</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建设一支让党放心、受学生欢迎的辅导员队伍是一项长期而艰巨的任务。努力为辅导员创造学习条件，鼓励辅导员积极参与思想政治教育、职业生涯规划、就业指导和心理健康教育等方面的省级或国家级培训。加强辅导员队伍党性教育以及廉政建设，打造一支政治素质过硬、专业化程度高、业务能力强以及综合素质优秀的队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64CD"/>
    <w:rsid w:val="00001217"/>
    <w:rsid w:val="00042A0F"/>
    <w:rsid w:val="000614DE"/>
    <w:rsid w:val="00085145"/>
    <w:rsid w:val="000B67A7"/>
    <w:rsid w:val="000D0F2C"/>
    <w:rsid w:val="000E037E"/>
    <w:rsid w:val="000E1537"/>
    <w:rsid w:val="001107CB"/>
    <w:rsid w:val="00120813"/>
    <w:rsid w:val="00134AF0"/>
    <w:rsid w:val="00141255"/>
    <w:rsid w:val="00141736"/>
    <w:rsid w:val="001C662F"/>
    <w:rsid w:val="001D4DE4"/>
    <w:rsid w:val="001D71F6"/>
    <w:rsid w:val="001D7D3A"/>
    <w:rsid w:val="001F1FE3"/>
    <w:rsid w:val="00205277"/>
    <w:rsid w:val="00206814"/>
    <w:rsid w:val="00242352"/>
    <w:rsid w:val="00250A89"/>
    <w:rsid w:val="0025374E"/>
    <w:rsid w:val="00261748"/>
    <w:rsid w:val="00263A6C"/>
    <w:rsid w:val="00272247"/>
    <w:rsid w:val="002733F9"/>
    <w:rsid w:val="00274121"/>
    <w:rsid w:val="002B178D"/>
    <w:rsid w:val="002B1B2D"/>
    <w:rsid w:val="002D66DC"/>
    <w:rsid w:val="002F6170"/>
    <w:rsid w:val="00323829"/>
    <w:rsid w:val="003254E9"/>
    <w:rsid w:val="00327611"/>
    <w:rsid w:val="003633D2"/>
    <w:rsid w:val="00364960"/>
    <w:rsid w:val="003A4486"/>
    <w:rsid w:val="003D4BF3"/>
    <w:rsid w:val="003F23A9"/>
    <w:rsid w:val="003F2CAA"/>
    <w:rsid w:val="004052CC"/>
    <w:rsid w:val="00432AD5"/>
    <w:rsid w:val="004412C3"/>
    <w:rsid w:val="00466C3B"/>
    <w:rsid w:val="00492A79"/>
    <w:rsid w:val="00493CC9"/>
    <w:rsid w:val="004C1487"/>
    <w:rsid w:val="004D414F"/>
    <w:rsid w:val="004E38D3"/>
    <w:rsid w:val="004F426E"/>
    <w:rsid w:val="00500687"/>
    <w:rsid w:val="0050552D"/>
    <w:rsid w:val="005153CA"/>
    <w:rsid w:val="00530877"/>
    <w:rsid w:val="00535860"/>
    <w:rsid w:val="00546C25"/>
    <w:rsid w:val="0055459A"/>
    <w:rsid w:val="005556EB"/>
    <w:rsid w:val="00565B92"/>
    <w:rsid w:val="00566570"/>
    <w:rsid w:val="00572B35"/>
    <w:rsid w:val="005837F3"/>
    <w:rsid w:val="00584408"/>
    <w:rsid w:val="00590924"/>
    <w:rsid w:val="00595A76"/>
    <w:rsid w:val="005D67CB"/>
    <w:rsid w:val="005F0C80"/>
    <w:rsid w:val="0064714B"/>
    <w:rsid w:val="006604CB"/>
    <w:rsid w:val="00670335"/>
    <w:rsid w:val="006779C4"/>
    <w:rsid w:val="006A28CD"/>
    <w:rsid w:val="00702B5F"/>
    <w:rsid w:val="007168E1"/>
    <w:rsid w:val="00717C59"/>
    <w:rsid w:val="007241E6"/>
    <w:rsid w:val="007446A3"/>
    <w:rsid w:val="0075001D"/>
    <w:rsid w:val="00764596"/>
    <w:rsid w:val="0077540C"/>
    <w:rsid w:val="007D6747"/>
    <w:rsid w:val="0080450A"/>
    <w:rsid w:val="00806667"/>
    <w:rsid w:val="00815A06"/>
    <w:rsid w:val="008502D1"/>
    <w:rsid w:val="0085261F"/>
    <w:rsid w:val="00861094"/>
    <w:rsid w:val="00891329"/>
    <w:rsid w:val="008F4722"/>
    <w:rsid w:val="00932369"/>
    <w:rsid w:val="0094118F"/>
    <w:rsid w:val="00961276"/>
    <w:rsid w:val="00962B42"/>
    <w:rsid w:val="00966E20"/>
    <w:rsid w:val="00970996"/>
    <w:rsid w:val="00984616"/>
    <w:rsid w:val="00992350"/>
    <w:rsid w:val="009A7023"/>
    <w:rsid w:val="009B093D"/>
    <w:rsid w:val="009B0C39"/>
    <w:rsid w:val="009B1DDE"/>
    <w:rsid w:val="009B2863"/>
    <w:rsid w:val="009C14D0"/>
    <w:rsid w:val="009F079C"/>
    <w:rsid w:val="009F3E13"/>
    <w:rsid w:val="009F4BA8"/>
    <w:rsid w:val="00A02747"/>
    <w:rsid w:val="00A028AD"/>
    <w:rsid w:val="00A04D4F"/>
    <w:rsid w:val="00A1627A"/>
    <w:rsid w:val="00A24F39"/>
    <w:rsid w:val="00A31387"/>
    <w:rsid w:val="00A34B22"/>
    <w:rsid w:val="00A50099"/>
    <w:rsid w:val="00A66232"/>
    <w:rsid w:val="00AE0791"/>
    <w:rsid w:val="00B04D36"/>
    <w:rsid w:val="00B05A63"/>
    <w:rsid w:val="00B47111"/>
    <w:rsid w:val="00B55575"/>
    <w:rsid w:val="00B66D1E"/>
    <w:rsid w:val="00B6791B"/>
    <w:rsid w:val="00B811F6"/>
    <w:rsid w:val="00B86CCC"/>
    <w:rsid w:val="00B979D9"/>
    <w:rsid w:val="00BB776B"/>
    <w:rsid w:val="00BD5233"/>
    <w:rsid w:val="00C1554D"/>
    <w:rsid w:val="00C219C9"/>
    <w:rsid w:val="00C3703A"/>
    <w:rsid w:val="00C37BBF"/>
    <w:rsid w:val="00C407E2"/>
    <w:rsid w:val="00C57555"/>
    <w:rsid w:val="00C6391D"/>
    <w:rsid w:val="00C71641"/>
    <w:rsid w:val="00C72C50"/>
    <w:rsid w:val="00C77302"/>
    <w:rsid w:val="00CB323D"/>
    <w:rsid w:val="00CB7EFC"/>
    <w:rsid w:val="00CC3960"/>
    <w:rsid w:val="00CF07DF"/>
    <w:rsid w:val="00CF6945"/>
    <w:rsid w:val="00D118D0"/>
    <w:rsid w:val="00D12AD9"/>
    <w:rsid w:val="00D43B25"/>
    <w:rsid w:val="00D4594A"/>
    <w:rsid w:val="00D73575"/>
    <w:rsid w:val="00D738E9"/>
    <w:rsid w:val="00D96325"/>
    <w:rsid w:val="00DA0FFB"/>
    <w:rsid w:val="00DD7731"/>
    <w:rsid w:val="00E110DD"/>
    <w:rsid w:val="00E156A5"/>
    <w:rsid w:val="00E2468A"/>
    <w:rsid w:val="00E27AA9"/>
    <w:rsid w:val="00E57DB4"/>
    <w:rsid w:val="00E778B5"/>
    <w:rsid w:val="00EA18C2"/>
    <w:rsid w:val="00EB7D07"/>
    <w:rsid w:val="00EC729A"/>
    <w:rsid w:val="00ED6790"/>
    <w:rsid w:val="00EE6555"/>
    <w:rsid w:val="00EF3668"/>
    <w:rsid w:val="00F0335D"/>
    <w:rsid w:val="00F0387B"/>
    <w:rsid w:val="00F33133"/>
    <w:rsid w:val="00F67808"/>
    <w:rsid w:val="00F7019C"/>
    <w:rsid w:val="00F852BC"/>
    <w:rsid w:val="00F92DCA"/>
    <w:rsid w:val="00FB6934"/>
    <w:rsid w:val="00FC08A7"/>
    <w:rsid w:val="00FC1906"/>
    <w:rsid w:val="00FC1BEC"/>
    <w:rsid w:val="00FC64CD"/>
    <w:rsid w:val="00FC7D77"/>
    <w:rsid w:val="00FD744F"/>
    <w:rsid w:val="00FE51F2"/>
    <w:rsid w:val="00FF5925"/>
    <w:rsid w:val="04E2729D"/>
    <w:rsid w:val="08F161BC"/>
    <w:rsid w:val="0B6E2CCD"/>
    <w:rsid w:val="0CD848CA"/>
    <w:rsid w:val="0FC13B0A"/>
    <w:rsid w:val="12CF22ED"/>
    <w:rsid w:val="130C274F"/>
    <w:rsid w:val="150C5718"/>
    <w:rsid w:val="17C535B8"/>
    <w:rsid w:val="19601E2E"/>
    <w:rsid w:val="1BC9538A"/>
    <w:rsid w:val="1CAE4A99"/>
    <w:rsid w:val="262A3AAC"/>
    <w:rsid w:val="28FF7D52"/>
    <w:rsid w:val="31D64064"/>
    <w:rsid w:val="321E0BC9"/>
    <w:rsid w:val="32273A57"/>
    <w:rsid w:val="32E72810"/>
    <w:rsid w:val="333B7FAB"/>
    <w:rsid w:val="33997603"/>
    <w:rsid w:val="38DA5D3E"/>
    <w:rsid w:val="38F76303"/>
    <w:rsid w:val="42B9258E"/>
    <w:rsid w:val="48B41258"/>
    <w:rsid w:val="4B935E0E"/>
    <w:rsid w:val="4CCE6A8F"/>
    <w:rsid w:val="4D4322D1"/>
    <w:rsid w:val="4D917E52"/>
    <w:rsid w:val="4F68713F"/>
    <w:rsid w:val="52611934"/>
    <w:rsid w:val="55957278"/>
    <w:rsid w:val="569F51AC"/>
    <w:rsid w:val="57F57CDB"/>
    <w:rsid w:val="58C2738B"/>
    <w:rsid w:val="60206211"/>
    <w:rsid w:val="612B2CF7"/>
    <w:rsid w:val="66954C62"/>
    <w:rsid w:val="672158C0"/>
    <w:rsid w:val="67A01A11"/>
    <w:rsid w:val="68C119EE"/>
    <w:rsid w:val="69AF676C"/>
    <w:rsid w:val="6D4547D0"/>
    <w:rsid w:val="6E7D1644"/>
    <w:rsid w:val="6F83507F"/>
    <w:rsid w:val="7279641C"/>
    <w:rsid w:val="732D7CED"/>
    <w:rsid w:val="734C572C"/>
    <w:rsid w:val="74BF2D99"/>
    <w:rsid w:val="7D2D1BC5"/>
    <w:rsid w:val="7D6B2F45"/>
    <w:rsid w:val="7EEB504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3F9D0-AA47-4901-823E-4A9E311171E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765</Words>
  <Characters>4366</Characters>
  <Lines>36</Lines>
  <Paragraphs>10</Paragraphs>
  <TotalTime>0</TotalTime>
  <ScaleCrop>false</ScaleCrop>
  <LinksUpToDate>false</LinksUpToDate>
  <CharactersWithSpaces>5121</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2015-11-19T08:43:00Z</dcterms:created>
  <dc:creator>User</dc:creator>
  <cp:lastModifiedBy>1</cp:lastModifiedBy>
  <dcterms:modified xsi:type="dcterms:W3CDTF">2016-04-08T06:46:17Z</dcterms:modified>
  <cp:revision>306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